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4E" w:rsidRPr="003620A2" w:rsidRDefault="00465C86">
      <w:pPr>
        <w:rPr>
          <w:i/>
          <w:sz w:val="24"/>
        </w:rPr>
      </w:pPr>
      <w:r w:rsidRPr="003620A2">
        <w:rPr>
          <w:i/>
          <w:sz w:val="24"/>
          <w:lang w:eastAsia="de-DE"/>
        </w:rPr>
        <w:t xml:space="preserve">Auch der MSD-H </w:t>
      </w:r>
      <w:r w:rsidR="00FF1631" w:rsidRPr="003620A2">
        <w:rPr>
          <w:i/>
          <w:sz w:val="24"/>
          <w:lang w:eastAsia="de-DE"/>
        </w:rPr>
        <w:t>stellt</w:t>
      </w:r>
      <w:r w:rsidRPr="003620A2">
        <w:rPr>
          <w:i/>
          <w:sz w:val="24"/>
          <w:lang w:eastAsia="de-DE"/>
        </w:rPr>
        <w:t xml:space="preserve"> üblicher</w:t>
      </w:r>
      <w:r w:rsidR="00FF1631" w:rsidRPr="003620A2">
        <w:rPr>
          <w:i/>
          <w:sz w:val="24"/>
          <w:lang w:eastAsia="de-DE"/>
        </w:rPr>
        <w:t>w</w:t>
      </w:r>
      <w:r w:rsidRPr="003620A2">
        <w:rPr>
          <w:i/>
          <w:sz w:val="24"/>
          <w:lang w:eastAsia="de-DE"/>
        </w:rPr>
        <w:t xml:space="preserve">eise eine vergleichbare Liste </w:t>
      </w:r>
      <w:r w:rsidR="00FF1631" w:rsidRPr="003620A2">
        <w:rPr>
          <w:i/>
          <w:sz w:val="24"/>
          <w:lang w:eastAsia="de-DE"/>
        </w:rPr>
        <w:t>zur Verfügung</w:t>
      </w:r>
      <w:r w:rsidRPr="003620A2">
        <w:rPr>
          <w:i/>
          <w:sz w:val="24"/>
          <w:lang w:eastAsia="de-DE"/>
        </w:rPr>
        <w:t xml:space="preserve"> und bespricht mit den Lehrkräften und der Schülerin bzw. dem Schüler die Punkte, die im Unterricht relevant </w:t>
      </w:r>
      <w:r w:rsidR="00FF1631" w:rsidRPr="003620A2">
        <w:rPr>
          <w:i/>
          <w:sz w:val="24"/>
          <w:lang w:eastAsia="de-DE"/>
        </w:rPr>
        <w:t>werden</w:t>
      </w:r>
      <w:r w:rsidRPr="003620A2">
        <w:rPr>
          <w:i/>
          <w:sz w:val="24"/>
          <w:lang w:eastAsia="de-DE"/>
        </w:rPr>
        <w:t>.</w:t>
      </w:r>
    </w:p>
    <w:p w:rsidR="003620A2" w:rsidRPr="003620A2" w:rsidRDefault="00465C86">
      <w:pPr>
        <w:rPr>
          <w:i/>
          <w:sz w:val="24"/>
          <w:lang w:eastAsia="de-DE"/>
        </w:rPr>
      </w:pPr>
      <w:r w:rsidRPr="003620A2">
        <w:rPr>
          <w:i/>
          <w:sz w:val="24"/>
          <w:lang w:eastAsia="de-DE"/>
        </w:rPr>
        <w:t xml:space="preserve">Die folgende Übersicht kann </w:t>
      </w:r>
      <w:r w:rsidR="00FF1631" w:rsidRPr="003620A2">
        <w:rPr>
          <w:i/>
          <w:sz w:val="24"/>
          <w:lang w:eastAsia="de-DE"/>
        </w:rPr>
        <w:t>jedoch</w:t>
      </w:r>
      <w:r w:rsidRPr="003620A2">
        <w:rPr>
          <w:i/>
          <w:sz w:val="24"/>
          <w:lang w:eastAsia="de-DE"/>
        </w:rPr>
        <w:t xml:space="preserve"> als erste Orientierung dienen.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5"/>
        <w:gridCol w:w="8537"/>
      </w:tblGrid>
      <w:tr w:rsidR="00576F4E" w:rsidTr="003620A2">
        <w:trPr>
          <w:trHeight w:val="340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 w:rsidRPr="003620A2">
              <w:rPr>
                <w:b/>
                <w:sz w:val="28"/>
              </w:rPr>
              <w:t>Äußere Rahmenbedingungen</w:t>
            </w:r>
          </w:p>
        </w:tc>
      </w:tr>
      <w:tr w:rsidR="00576F4E" w:rsidTr="003620A2">
        <w:trPr>
          <w:trHeight w:val="340"/>
        </w:trPr>
        <w:tc>
          <w:tcPr>
            <w:tcW w:w="250" w:type="dxa"/>
            <w:tcBorders>
              <w:top w:val="single" w:sz="4" w:space="0" w:color="auto"/>
            </w:tcBorders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</w:tcBorders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Sitzplatz</w:t>
            </w:r>
          </w:p>
        </w:tc>
      </w:tr>
      <w:tr w:rsidR="00576F4E">
        <w:trPr>
          <w:trHeight w:val="680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Das Ohr, das besser hört, sollte eher in den Raum gerichtet sein</w:t>
            </w:r>
            <w:r w:rsidR="009E116C">
              <w:rPr>
                <w:sz w:val="24"/>
              </w:rPr>
              <w:t>.</w:t>
            </w:r>
          </w:p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(starkes Ohr in den Raum, schwaches Ohr zur Wand)</w:t>
            </w:r>
          </w:p>
        </w:tc>
      </w:tr>
      <w:tr w:rsidR="00576F4E">
        <w:trPr>
          <w:trHeight w:val="680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9E116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eher</w:t>
            </w:r>
            <w:r w:rsidR="00465C86">
              <w:rPr>
                <w:sz w:val="24"/>
              </w:rPr>
              <w:t xml:space="preserve"> vorne, am besten 1. Reihe;</w:t>
            </w:r>
          </w:p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wenn möglich: feste Sitznachbarin bzw. fester Sitznachbar zur Unterstützung</w:t>
            </w:r>
          </w:p>
        </w:tc>
      </w:tr>
      <w:tr w:rsidR="00576F4E" w:rsidTr="003620A2">
        <w:trPr>
          <w:trHeight w:val="489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9E116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</w:t>
            </w:r>
            <w:r w:rsidR="00465C86">
              <w:rPr>
                <w:sz w:val="24"/>
              </w:rPr>
              <w:t>esser an der Wandseite als an der Fensterseite sitzen</w:t>
            </w:r>
          </w:p>
        </w:tc>
      </w:tr>
      <w:tr w:rsidR="00576F4E" w:rsidTr="003620A2">
        <w:trPr>
          <w:trHeight w:val="372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Drehstuhl, damit eine Ausrichtung zur/zum Sprechenden hin möglich ist</w:t>
            </w:r>
          </w:p>
        </w:tc>
      </w:tr>
      <w:tr w:rsidR="00576F4E" w:rsidTr="003620A2">
        <w:trPr>
          <w:trHeight w:val="382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Antlitz-Gerichtetheit der bzw. des Sprechenden hin zur hörgeschädigten Person</w:t>
            </w:r>
          </w:p>
        </w:tc>
      </w:tr>
      <w:tr w:rsidR="00576F4E">
        <w:trPr>
          <w:trHeight w:val="340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8962" w:type="dxa"/>
            <w:gridSpan w:val="2"/>
            <w:vAlign w:val="center"/>
          </w:tcPr>
          <w:p w:rsidR="003620A2" w:rsidRDefault="003620A2">
            <w:pPr>
              <w:spacing w:after="0"/>
              <w:rPr>
                <w:b/>
                <w:sz w:val="24"/>
              </w:rPr>
            </w:pPr>
          </w:p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Lichtverhältnisse</w:t>
            </w:r>
          </w:p>
        </w:tc>
      </w:tr>
      <w:tr w:rsidR="00FF1631" w:rsidTr="003620A2">
        <w:trPr>
          <w:trHeight w:val="396"/>
        </w:trPr>
        <w:tc>
          <w:tcPr>
            <w:tcW w:w="250" w:type="dxa"/>
          </w:tcPr>
          <w:p w:rsidR="00FF1631" w:rsidRDefault="00FF1631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FF1631" w:rsidRDefault="00FF1631">
            <w:pPr>
              <w:spacing w:after="0"/>
              <w:jc w:val="center"/>
              <w:rPr>
                <w:b/>
                <w:sz w:val="36"/>
              </w:rPr>
            </w:pPr>
            <w:r w:rsidRPr="00FF1631"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bottom w:val="single" w:sz="4" w:space="0" w:color="auto"/>
            </w:tcBorders>
            <w:vAlign w:val="center"/>
          </w:tcPr>
          <w:p w:rsidR="00FF1631" w:rsidRPr="00FF1631" w:rsidRDefault="00FF1631" w:rsidP="00FF1631">
            <w:pPr>
              <w:spacing w:after="0"/>
              <w:rPr>
                <w:b/>
                <w:sz w:val="36"/>
              </w:rPr>
            </w:pPr>
            <w:r w:rsidRPr="00FF1631">
              <w:rPr>
                <w:sz w:val="24"/>
              </w:rPr>
              <w:t>blendfreier Blick zur Sprecherin, zum Sprecher, zur Tafel bzw. zur Präsentation</w:t>
            </w:r>
          </w:p>
        </w:tc>
      </w:tr>
      <w:tr w:rsidR="00576F4E" w:rsidTr="003620A2">
        <w:trPr>
          <w:trHeight w:val="492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Hörbeeinträchtigte Personen werden dadurch beim „Lesen“ des </w:t>
            </w:r>
            <w:proofErr w:type="spellStart"/>
            <w:r>
              <w:rPr>
                <w:sz w:val="24"/>
              </w:rPr>
              <w:t>Absehbildes</w:t>
            </w:r>
            <w:proofErr w:type="spellEnd"/>
            <w:r>
              <w:rPr>
                <w:sz w:val="24"/>
              </w:rPr>
              <w:t xml:space="preserve"> der bzw. des Sprechenden unterstützt</w:t>
            </w:r>
          </w:p>
        </w:tc>
      </w:tr>
      <w:tr w:rsidR="00576F4E">
        <w:trPr>
          <w:trHeight w:val="340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8962" w:type="dxa"/>
            <w:gridSpan w:val="2"/>
            <w:vAlign w:val="center"/>
          </w:tcPr>
          <w:p w:rsidR="003620A2" w:rsidRDefault="003620A2">
            <w:pPr>
              <w:spacing w:after="0"/>
              <w:rPr>
                <w:b/>
                <w:sz w:val="24"/>
              </w:rPr>
            </w:pPr>
          </w:p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Raumakustik/Lärmreduzierung</w:t>
            </w:r>
          </w:p>
        </w:tc>
      </w:tr>
      <w:tr w:rsidR="00576F4E" w:rsidTr="003620A2">
        <w:trPr>
          <w:trHeight w:val="428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Akustikdecke; Wandpaneele/Pinnwände</w:t>
            </w:r>
          </w:p>
        </w:tc>
      </w:tr>
      <w:tr w:rsidR="00576F4E" w:rsidTr="003620A2">
        <w:trPr>
          <w:trHeight w:val="410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Lärm reduzierende Maßnahmen, wie z.</w:t>
            </w:r>
            <w:r w:rsidR="009E116C">
              <w:rPr>
                <w:sz w:val="24"/>
              </w:rPr>
              <w:t xml:space="preserve"> </w:t>
            </w:r>
            <w:r>
              <w:rPr>
                <w:sz w:val="24"/>
              </w:rPr>
              <w:t>B. Teppichboden, Vorhänge, Filzgleiter, Tischauflagen</w:t>
            </w:r>
          </w:p>
        </w:tc>
      </w:tr>
      <w:tr w:rsidR="00576F4E" w:rsidTr="003620A2">
        <w:trPr>
          <w:trHeight w:val="518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geräuscharme Technik verwenden </w:t>
            </w:r>
            <w:r>
              <w:rPr>
                <w:rFonts w:ascii="Wingdings" w:eastAsia="Wingdings" w:hAnsi="Wingdings" w:cs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Beamer</w:t>
            </w:r>
            <w:proofErr w:type="spellEnd"/>
            <w:r>
              <w:rPr>
                <w:sz w:val="24"/>
              </w:rPr>
              <w:t>, Lüftungsgeräte</w:t>
            </w:r>
            <w:r w:rsidR="00FF1631">
              <w:rPr>
                <w:sz w:val="24"/>
              </w:rPr>
              <w:t>; bei Nicht-Verwendung ausschalten.</w:t>
            </w:r>
          </w:p>
        </w:tc>
      </w:tr>
      <w:tr w:rsidR="00576F4E">
        <w:trPr>
          <w:trHeight w:val="340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8962" w:type="dxa"/>
            <w:gridSpan w:val="2"/>
            <w:vAlign w:val="center"/>
          </w:tcPr>
          <w:p w:rsidR="003620A2" w:rsidRDefault="003620A2">
            <w:pPr>
              <w:spacing w:after="0"/>
              <w:rPr>
                <w:b/>
                <w:sz w:val="24"/>
              </w:rPr>
            </w:pPr>
          </w:p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Technische Versorgung</w:t>
            </w:r>
          </w:p>
        </w:tc>
      </w:tr>
      <w:tr w:rsidR="00576F4E">
        <w:trPr>
          <w:trHeight w:val="340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FM-Übertragungsanlage</w:t>
            </w:r>
            <w:r w:rsidR="00FF1631">
              <w:rPr>
                <w:sz w:val="24"/>
              </w:rPr>
              <w:t xml:space="preserve"> </w:t>
            </w:r>
            <w:r w:rsidR="009E116C">
              <w:rPr>
                <w:sz w:val="24"/>
              </w:rPr>
              <w:t>o. ä.</w:t>
            </w:r>
            <w:r>
              <w:rPr>
                <w:sz w:val="24"/>
              </w:rPr>
              <w:t>; Spracherkennungs-Software (mit Hilfe dieser Software wird Sprache in Text transferiert); Vorsicht: technische Hilfsmittel bleiben eine Prothese und können natürliches Hören nicht im vollen Umfang ermöglichen</w:t>
            </w:r>
          </w:p>
        </w:tc>
      </w:tr>
      <w:tr w:rsidR="00576F4E">
        <w:trPr>
          <w:trHeight w:val="340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8962" w:type="dxa"/>
            <w:gridSpan w:val="2"/>
            <w:vAlign w:val="center"/>
          </w:tcPr>
          <w:p w:rsidR="003620A2" w:rsidRDefault="003620A2">
            <w:pPr>
              <w:spacing w:after="0"/>
              <w:rPr>
                <w:b/>
                <w:sz w:val="24"/>
              </w:rPr>
            </w:pPr>
          </w:p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Klassengröße</w:t>
            </w:r>
          </w:p>
        </w:tc>
      </w:tr>
      <w:tr w:rsidR="00576F4E" w:rsidTr="003620A2">
        <w:trPr>
          <w:trHeight w:val="431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Kann zusätzliches Budget zur Reduzierung der Klassengröße organisiert werden?</w:t>
            </w:r>
          </w:p>
        </w:tc>
      </w:tr>
      <w:tr w:rsidR="00576F4E">
        <w:trPr>
          <w:trHeight w:val="624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Teilung der Lerngruppen in einzelnen Fächern bzw. Stunden. Dafür können bspw.</w:t>
            </w:r>
            <w:r w:rsidR="00FF1631">
              <w:rPr>
                <w:rStyle w:val="Kommentarzeichen"/>
              </w:rPr>
              <w:t xml:space="preserve"> </w:t>
            </w:r>
            <w:r w:rsidR="00FF1631">
              <w:rPr>
                <w:sz w:val="24"/>
              </w:rPr>
              <w:t>Bud</w:t>
            </w:r>
            <w:r>
              <w:rPr>
                <w:sz w:val="24"/>
              </w:rPr>
              <w:t>getstunden beantragt werden. Das wäre v.</w:t>
            </w:r>
            <w:r w:rsidR="00FF1631">
              <w:rPr>
                <w:sz w:val="24"/>
              </w:rPr>
              <w:t xml:space="preserve"> </w:t>
            </w:r>
            <w:r>
              <w:rPr>
                <w:sz w:val="24"/>
              </w:rPr>
              <w:t>a. für einzelne Fächer, wie insbesondere in den Fremdsprachen, angebracht.</w:t>
            </w:r>
          </w:p>
        </w:tc>
      </w:tr>
      <w:tr w:rsidR="00576F4E" w:rsidTr="003620A2">
        <w:trPr>
          <w:trHeight w:val="218"/>
        </w:trPr>
        <w:tc>
          <w:tcPr>
            <w:tcW w:w="250" w:type="dxa"/>
          </w:tcPr>
          <w:p w:rsidR="00576F4E" w:rsidRDefault="00576F4E">
            <w:pPr>
              <w:spacing w:after="0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576F4E" w:rsidRDefault="00465C86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Teamteaching</w:t>
            </w:r>
          </w:p>
        </w:tc>
      </w:tr>
    </w:tbl>
    <w:p w:rsidR="00576F4E" w:rsidRDefault="00576F4E">
      <w:pPr>
        <w:spacing w:after="0"/>
        <w:rPr>
          <w:sz w:val="24"/>
        </w:rPr>
      </w:pPr>
    </w:p>
    <w:p w:rsidR="003620A2" w:rsidRDefault="003620A2">
      <w:pPr>
        <w:spacing w:after="0"/>
        <w:rPr>
          <w:b/>
          <w:sz w:val="28"/>
        </w:rPr>
        <w:sectPr w:rsidR="003620A2" w:rsidSect="003620A2">
          <w:headerReference w:type="default" r:id="rId8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576F4E" w:rsidTr="003620A2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76F4E" w:rsidRPr="003620A2" w:rsidRDefault="00465C86">
            <w:pPr>
              <w:spacing w:after="0"/>
              <w:rPr>
                <w:b/>
                <w:sz w:val="28"/>
              </w:rPr>
            </w:pPr>
            <w:r w:rsidRPr="003620A2">
              <w:rPr>
                <w:b/>
                <w:sz w:val="28"/>
              </w:rPr>
              <w:lastRenderedPageBreak/>
              <w:t>Schülerbezogene Strategien</w:t>
            </w:r>
          </w:p>
        </w:tc>
      </w:tr>
      <w:tr w:rsidR="00576F4E" w:rsidTr="003620A2">
        <w:trPr>
          <w:trHeight w:val="36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Balance zwischen „verstehender Zuwendung“ (Empathie) und Führung (Forderung)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FF1631">
            <w:pPr>
              <w:spacing w:after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M</w:t>
            </w:r>
            <w:r w:rsidR="00465C86">
              <w:rPr>
                <w:sz w:val="24"/>
                <w:szCs w:val="24"/>
              </w:rPr>
              <w:t xml:space="preserve">it Motivationsproblemen rechnen: </w:t>
            </w:r>
            <w:r w:rsidR="00465C86">
              <w:rPr>
                <w:rFonts w:cs="Arial"/>
                <w:color w:val="000000"/>
                <w:sz w:val="24"/>
                <w:szCs w:val="24"/>
              </w:rPr>
              <w:t>Schülerinnen und Schüler sind unter Umständen deutlich motivierter, wenn mit ihnen zuvor eindeutig über Beginn, Dauer und Ende einer Arbeitsaufgabe gesprochen wurde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 w:rsidR="00465C86">
              <w:rPr>
                <w:rFonts w:cs="Arial"/>
                <w:color w:val="000000"/>
                <w:sz w:val="24"/>
                <w:szCs w:val="24"/>
              </w:rPr>
              <w:t xml:space="preserve"> Auch langsam gesteigerte Arbeitsaufgaben einzufordern und im Anschluss Auszeiten zu gewähren, wirkt motivationssteigernd.</w:t>
            </w:r>
          </w:p>
        </w:tc>
      </w:tr>
      <w:tr w:rsidR="00576F4E" w:rsidTr="003620A2">
        <w:trPr>
          <w:trHeight w:val="368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Geduld aufbringen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Unterstützung durch schriftliche Materialien (insbesondere auch bspw. bei Krankheit und Fehltagen): Befreiung/Entlastung der bzw. des Betroffenen vom Mitschreiben-Müssen</w:t>
            </w:r>
            <w:r w:rsidR="00FF1631">
              <w:rPr>
                <w:sz w:val="24"/>
              </w:rPr>
              <w:t xml:space="preserve"> (z. B. Abfotografieren oder digital zur Verfügung stellen)</w:t>
            </w:r>
          </w:p>
        </w:tc>
      </w:tr>
      <w:tr w:rsidR="00576F4E" w:rsidTr="003620A2">
        <w:trPr>
          <w:trHeight w:val="466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F0633C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k</w:t>
            </w:r>
            <w:r w:rsidR="00465C86">
              <w:rPr>
                <w:sz w:val="24"/>
              </w:rPr>
              <w:t>lare, saubere Schrift an der Tafel bzw. unter de</w:t>
            </w:r>
            <w:r w:rsidR="004B7017">
              <w:rPr>
                <w:sz w:val="24"/>
              </w:rPr>
              <w:t>r Dokumentenkamera</w:t>
            </w:r>
          </w:p>
        </w:tc>
      </w:tr>
      <w:tr w:rsidR="00576F4E" w:rsidTr="003620A2">
        <w:trPr>
          <w:trHeight w:val="700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 xml:space="preserve">Benachbarte Schülerinnen und Schüler sollten ebenfalls auf eine möglichst lesbare Schrift und selbst gut auf die Vollständigkeit ihrer </w:t>
            </w:r>
            <w:r w:rsidR="00FF1631">
              <w:rPr>
                <w:sz w:val="24"/>
              </w:rPr>
              <w:t>M</w:t>
            </w:r>
            <w:r>
              <w:rPr>
                <w:sz w:val="24"/>
              </w:rPr>
              <w:t>itschriften achten</w:t>
            </w:r>
            <w:r w:rsidR="00FF1631">
              <w:rPr>
                <w:sz w:val="24"/>
              </w:rPr>
              <w:t>.</w:t>
            </w:r>
          </w:p>
        </w:tc>
      </w:tr>
      <w:tr w:rsidR="00576F4E" w:rsidTr="003620A2">
        <w:trPr>
          <w:trHeight w:val="695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bei der Aneignung von Lern-, Kommunikations- und Kompensationsstrategien unterstützen</w:t>
            </w:r>
          </w:p>
        </w:tc>
      </w:tr>
      <w:tr w:rsidR="00576F4E" w:rsidTr="003620A2">
        <w:trPr>
          <w:trHeight w:val="691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Rückmeldung von den Schülerinnen und Schülern einholen, bspw. mit Hilfe von Reflexions- und Feedbackbögen sowie Feedbackgesprächen</w:t>
            </w:r>
          </w:p>
        </w:tc>
      </w:tr>
      <w:tr w:rsidR="003620A2" w:rsidTr="003620A2">
        <w:trPr>
          <w:trHeight w:val="691"/>
        </w:trPr>
        <w:tc>
          <w:tcPr>
            <w:tcW w:w="675" w:type="dxa"/>
            <w:vAlign w:val="center"/>
          </w:tcPr>
          <w:p w:rsidR="003620A2" w:rsidRDefault="003620A2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0A2" w:rsidRDefault="003620A2">
            <w:pPr>
              <w:spacing w:after="0"/>
              <w:rPr>
                <w:sz w:val="24"/>
              </w:rPr>
            </w:pPr>
            <w:proofErr w:type="spellStart"/>
            <w:r w:rsidRPr="003620A2">
              <w:rPr>
                <w:sz w:val="24"/>
              </w:rPr>
              <w:t>attributionales</w:t>
            </w:r>
            <w:proofErr w:type="spellEnd"/>
            <w:r w:rsidRPr="003620A2">
              <w:rPr>
                <w:sz w:val="24"/>
              </w:rPr>
              <w:t xml:space="preserve"> Feedback geben (die Konzentrationsleistung einer hörgeschädigten Schülerin bzw. eines hörgeschädigten Schülers ist stärker gefordert als bei den „Normal-Hörenden“)</w:t>
            </w:r>
          </w:p>
        </w:tc>
      </w:tr>
      <w:tr w:rsidR="003620A2" w:rsidTr="003620A2">
        <w:trPr>
          <w:trHeight w:val="332"/>
        </w:trPr>
        <w:tc>
          <w:tcPr>
            <w:tcW w:w="675" w:type="dxa"/>
            <w:vAlign w:val="center"/>
          </w:tcPr>
          <w:p w:rsidR="003620A2" w:rsidRDefault="003620A2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0A2" w:rsidRDefault="003620A2">
            <w:pPr>
              <w:spacing w:after="0"/>
              <w:rPr>
                <w:sz w:val="24"/>
              </w:rPr>
            </w:pPr>
            <w:r w:rsidRPr="003620A2">
              <w:rPr>
                <w:sz w:val="24"/>
              </w:rPr>
              <w:t>Selbsttätigkeit der Schülerin bzw. des Schülers fördern</w:t>
            </w:r>
          </w:p>
        </w:tc>
      </w:tr>
    </w:tbl>
    <w:p w:rsidR="00576F4E" w:rsidRDefault="00576F4E">
      <w:pPr>
        <w:spacing w:after="0"/>
        <w:rPr>
          <w:b/>
          <w:sz w:val="24"/>
        </w:rPr>
      </w:pPr>
    </w:p>
    <w:p w:rsidR="003620A2" w:rsidRDefault="003620A2">
      <w:pPr>
        <w:spacing w:after="0"/>
        <w:rPr>
          <w:b/>
          <w:sz w:val="24"/>
        </w:rPr>
      </w:pPr>
    </w:p>
    <w:p w:rsidR="003620A2" w:rsidRDefault="003620A2">
      <w:pPr>
        <w:sectPr w:rsidR="003620A2" w:rsidSect="003620A2"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576F4E" w:rsidTr="003620A2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 w:rsidRPr="003620A2">
              <w:rPr>
                <w:b/>
                <w:sz w:val="28"/>
              </w:rPr>
              <w:lastRenderedPageBreak/>
              <w:t>Didaktisch-methodische Hinweise</w:t>
            </w:r>
          </w:p>
        </w:tc>
      </w:tr>
      <w:tr w:rsidR="00576F4E" w:rsidTr="003620A2">
        <w:trPr>
          <w:trHeight w:val="907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 xml:space="preserve">Beachten des Standpunktes der Lehrkraft und der Sitzordnung der Klasse: Ablesen vom </w:t>
            </w:r>
            <w:proofErr w:type="spellStart"/>
            <w:r>
              <w:rPr>
                <w:sz w:val="24"/>
              </w:rPr>
              <w:t>Mundbild</w:t>
            </w:r>
            <w:proofErr w:type="spellEnd"/>
            <w:r>
              <w:rPr>
                <w:sz w:val="24"/>
              </w:rPr>
              <w:t xml:space="preserve"> ermöglichen</w:t>
            </w:r>
            <w:r w:rsidR="003620A2">
              <w:rPr>
                <w:sz w:val="24"/>
              </w:rPr>
              <w:t>; Anordnung im Halbkreis sinnvoll.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Transparenz: Klarheit/Vorhersehbarkeit am Anfang der Stunde: Was kommt wann? in der Unterrichtsstunde? Der Unterrichtsverlauf kann der betreffenden Person zu Stundenbeginn schriftlich ausgehändigt werden</w:t>
            </w:r>
            <w:r w:rsidR="00FF1631">
              <w:rPr>
                <w:sz w:val="24"/>
              </w:rPr>
              <w:t xml:space="preserve"> oder für alle sichtbar aufgehängt werden.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3620A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Struktur schafft Verlässlichkeit</w:t>
            </w:r>
            <w:r w:rsidR="00FF1631">
              <w:rPr>
                <w:sz w:val="24"/>
              </w:rPr>
              <w:t xml:space="preserve">: </w:t>
            </w:r>
            <w:r w:rsidR="00FF1631" w:rsidRPr="00FF1631">
              <w:rPr>
                <w:sz w:val="24"/>
              </w:rPr>
              <w:t>Zusammenfassungen nach Teilzielen (auch durch Schülerinnen</w:t>
            </w:r>
            <w:r>
              <w:rPr>
                <w:sz w:val="24"/>
              </w:rPr>
              <w:t xml:space="preserve"> und Schüler</w:t>
            </w:r>
            <w:r w:rsidR="00FF1631" w:rsidRPr="00FF1631">
              <w:rPr>
                <w:sz w:val="24"/>
              </w:rPr>
              <w:t>) um den roten Faden in der Stunde erkennbar zu halten.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Gesprächsdisziplin 1: Aufklärung und Rücksichtnahme des sozialen Umfelds/der Klasse; der hörgeschädigten Person soll das Zuhören durch Minimierung des Störschalls erleichtert werden</w:t>
            </w:r>
            <w:r w:rsidR="003620A2">
              <w:rPr>
                <w:sz w:val="24"/>
              </w:rPr>
              <w:t>.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Gesprächsdisziplin 2: Der hörgeschädigten Person die Gelegenheit geben, sich in Sprachtempo, Sprachmelodie, Sprechweise der Lehrkraft „einzuhören“</w:t>
            </w:r>
            <w:r w:rsidR="003620A2">
              <w:rPr>
                <w:sz w:val="24"/>
              </w:rPr>
              <w:t>.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Pr="003620A2" w:rsidRDefault="00465C86" w:rsidP="003620A2">
            <w:pPr>
              <w:pStyle w:val="Kommentartext"/>
            </w:pPr>
            <w:r>
              <w:rPr>
                <w:sz w:val="24"/>
              </w:rPr>
              <w:t xml:space="preserve">Methodenwechsel: </w:t>
            </w:r>
            <w:r w:rsidR="003620A2">
              <w:rPr>
                <w:sz w:val="24"/>
              </w:rPr>
              <w:t xml:space="preserve">Einplanen von </w:t>
            </w:r>
            <w:r w:rsidR="003620A2" w:rsidRPr="003620A2">
              <w:rPr>
                <w:sz w:val="24"/>
                <w:szCs w:val="22"/>
              </w:rPr>
              <w:t>Hörpausen einplanen durch Eigenaktivität der Schüler</w:t>
            </w:r>
            <w:r w:rsidR="009E116C">
              <w:rPr>
                <w:sz w:val="24"/>
                <w:szCs w:val="22"/>
              </w:rPr>
              <w:t>innen und Schüler</w:t>
            </w:r>
            <w:bookmarkStart w:id="0" w:name="_GoBack"/>
            <w:bookmarkEnd w:id="0"/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24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Visualisierung: visuelle Anker schützen die Schülerin bzw. den Schüler vor allzu hoher kognitiver Belastung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Redundanzen/Wiederholungen/Zusammenfassungen: Nutzung neuer Formulierungen und/oder </w:t>
            </w:r>
            <w:r w:rsidR="003620A2">
              <w:rPr>
                <w:sz w:val="24"/>
              </w:rPr>
              <w:t xml:space="preserve">ganzheitlicher </w:t>
            </w:r>
            <w:r>
              <w:rPr>
                <w:sz w:val="24"/>
              </w:rPr>
              <w:t>Zugänge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Reduktion: Wichtiges hervorheben – </w:t>
            </w:r>
            <w:r w:rsidR="003620A2">
              <w:rPr>
                <w:sz w:val="24"/>
              </w:rPr>
              <w:t>U</w:t>
            </w:r>
            <w:r>
              <w:rPr>
                <w:sz w:val="24"/>
              </w:rPr>
              <w:t>nwichtiges reduzieren („langsam, aber dafür gründlich“)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Lehrersprache/Sprachmodulation: Deutlich, betont und langsam sprechen, Anwenden von Lehrer-Echo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Pausen machen</w:t>
            </w:r>
            <w:proofErr w:type="gramStart"/>
            <w:r>
              <w:rPr>
                <w:sz w:val="24"/>
              </w:rPr>
              <w:t>/„</w:t>
            </w:r>
            <w:proofErr w:type="gramEnd"/>
            <w:r>
              <w:rPr>
                <w:sz w:val="24"/>
              </w:rPr>
              <w:t>abwarten können“: Strukturierung von Sinn-Einheiten; die Lernenden erhalten die Chance, über das Gesagte nachzudenken, Fragen dazu zu stellen und können ein wenig regenerieren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paralleles Arbeiten vermeiden: bspw. nicht zur gleichen Zeit Gruppenarbeitsphase und Tafelanschrift </w:t>
            </w:r>
            <w:r w:rsidR="003620A2">
              <w:rPr>
                <w:sz w:val="24"/>
              </w:rPr>
              <w:t>inkl. Erklärungen</w:t>
            </w:r>
            <w:r>
              <w:rPr>
                <w:sz w:val="24"/>
              </w:rPr>
              <w:t>; Blickkontakt ermöglichen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Verständnisfragen stellen</w:t>
            </w:r>
            <w:r w:rsidR="003620A2">
              <w:rPr>
                <w:sz w:val="24"/>
              </w:rPr>
              <w:t xml:space="preserve">; </w:t>
            </w:r>
            <w:r>
              <w:rPr>
                <w:sz w:val="24"/>
              </w:rPr>
              <w:t>am Stundenende: Arbeitsblatt mit Sicherungsfragen an alle Schülerinnen und Schüler ausgeben</w:t>
            </w:r>
          </w:p>
        </w:tc>
      </w:tr>
      <w:tr w:rsidR="00576F4E">
        <w:trPr>
          <w:trHeight w:val="907"/>
        </w:trPr>
        <w:tc>
          <w:tcPr>
            <w:tcW w:w="675" w:type="dxa"/>
            <w:vAlign w:val="center"/>
          </w:tcPr>
          <w:p w:rsidR="00576F4E" w:rsidRDefault="00465C86">
            <w:pPr>
              <w:spacing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○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4E" w:rsidRDefault="00465C8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individuelle Erläuterungen: Die Schülerin bzw. der Schüler soll möglichst viel während des Unterrichts mitbekommen, </w:t>
            </w:r>
            <w:r w:rsidR="003620A2" w:rsidRPr="003620A2">
              <w:rPr>
                <w:sz w:val="24"/>
              </w:rPr>
              <w:t>um zusätzliche Kompensationsleistung zu verringern</w:t>
            </w:r>
            <w:r w:rsidR="003620A2">
              <w:t xml:space="preserve"> </w:t>
            </w:r>
          </w:p>
        </w:tc>
      </w:tr>
    </w:tbl>
    <w:p w:rsidR="00576F4E" w:rsidRDefault="00576F4E">
      <w:pPr>
        <w:rPr>
          <w:b/>
          <w:sz w:val="24"/>
          <w:lang w:eastAsia="de-DE"/>
        </w:rPr>
      </w:pPr>
    </w:p>
    <w:p w:rsidR="00382CD1" w:rsidRDefault="003620A2" w:rsidP="003620A2">
      <w:pPr>
        <w:pBdr>
          <w:bottom w:val="single" w:sz="4" w:space="1" w:color="auto"/>
        </w:pBdr>
      </w:pPr>
      <w:r>
        <w:rPr>
          <w:b/>
          <w:sz w:val="28"/>
        </w:rPr>
        <w:lastRenderedPageBreak/>
        <w:t>Was ist meiner Schülerin bzw. meinem Schüler wichtig?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8"/>
      </w:tblGrid>
      <w:tr w:rsidR="00382CD1" w:rsidRPr="00382CD1" w:rsidTr="00382CD1"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  <w:bookmarkStart w:id="1" w:name="_Hlk105760057"/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bookmarkEnd w:id="1"/>
      <w:tr w:rsidR="00382CD1" w:rsidRPr="00382CD1" w:rsidTr="00382CD1">
        <w:tc>
          <w:tcPr>
            <w:tcW w:w="9638" w:type="dxa"/>
            <w:tcBorders>
              <w:left w:val="nil"/>
              <w:bottom w:val="single" w:sz="4" w:space="0" w:color="000000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  <w:tr w:rsidR="00382CD1" w:rsidRPr="00382CD1" w:rsidTr="00382CD1">
        <w:tc>
          <w:tcPr>
            <w:tcW w:w="9638" w:type="dxa"/>
            <w:tcBorders>
              <w:left w:val="nil"/>
              <w:right w:val="nil"/>
            </w:tcBorders>
          </w:tcPr>
          <w:p w:rsidR="00382CD1" w:rsidRPr="00382CD1" w:rsidRDefault="00382CD1" w:rsidP="00854618">
            <w:pPr>
              <w:rPr>
                <w:sz w:val="28"/>
              </w:rPr>
            </w:pPr>
          </w:p>
        </w:tc>
      </w:tr>
    </w:tbl>
    <w:p w:rsidR="00576F4E" w:rsidRPr="00382CD1" w:rsidRDefault="00576F4E" w:rsidP="00382CD1">
      <w:pPr>
        <w:rPr>
          <w:sz w:val="28"/>
        </w:rPr>
      </w:pPr>
    </w:p>
    <w:sectPr w:rsidR="00576F4E" w:rsidRPr="00382CD1" w:rsidSect="003620A2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D2" w:rsidRDefault="003838D2">
      <w:pPr>
        <w:spacing w:after="0"/>
      </w:pPr>
      <w:r>
        <w:separator/>
      </w:r>
    </w:p>
  </w:endnote>
  <w:endnote w:type="continuationSeparator" w:id="0">
    <w:p w:rsidR="003838D2" w:rsidRDefault="003838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D2" w:rsidRDefault="003838D2">
      <w:pPr>
        <w:spacing w:after="0"/>
      </w:pPr>
      <w:r>
        <w:separator/>
      </w:r>
    </w:p>
  </w:footnote>
  <w:footnote w:type="continuationSeparator" w:id="0">
    <w:p w:rsidR="003838D2" w:rsidRDefault="003838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631" w:rsidRPr="00FF1631" w:rsidRDefault="00465C86">
    <w:pPr>
      <w:pStyle w:val="Kopfzeile"/>
      <w:jc w:val="center"/>
      <w:rPr>
        <w:b/>
        <w:sz w:val="32"/>
      </w:rPr>
    </w:pPr>
    <w:r w:rsidRPr="00FF1631">
      <w:rPr>
        <w:b/>
        <w:sz w:val="32"/>
      </w:rPr>
      <w:t xml:space="preserve">Individuelle Unterstützung </w:t>
    </w:r>
  </w:p>
  <w:p w:rsidR="00576F4E" w:rsidRPr="00FF1631" w:rsidRDefault="00465C86">
    <w:pPr>
      <w:pStyle w:val="Kopfzeile"/>
      <w:jc w:val="center"/>
      <w:rPr>
        <w:b/>
        <w:sz w:val="32"/>
      </w:rPr>
    </w:pPr>
    <w:r w:rsidRPr="00FF1631">
      <w:rPr>
        <w:b/>
        <w:sz w:val="32"/>
      </w:rPr>
      <w:t xml:space="preserve">Checkliste </w:t>
    </w:r>
    <w:r w:rsidR="00FF1631" w:rsidRPr="00FF1631">
      <w:rPr>
        <w:b/>
        <w:sz w:val="32"/>
      </w:rPr>
      <w:t>für den</w:t>
    </w:r>
    <w:r w:rsidRPr="00FF1631">
      <w:rPr>
        <w:b/>
        <w:sz w:val="32"/>
      </w:rPr>
      <w:t xml:space="preserve"> Förderschwerpunkt Hören</w:t>
    </w:r>
  </w:p>
  <w:p w:rsidR="00576F4E" w:rsidRDefault="00576F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7B3"/>
    <w:multiLevelType w:val="hybridMultilevel"/>
    <w:tmpl w:val="B73645E4"/>
    <w:lvl w:ilvl="0" w:tplc="C01CA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1E4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24E82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EE84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4E9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3083B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8C21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961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586D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814F79"/>
    <w:multiLevelType w:val="hybridMultilevel"/>
    <w:tmpl w:val="424A93B6"/>
    <w:lvl w:ilvl="0" w:tplc="273A5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06C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2B671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0E08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3EF1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EBC3E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8605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FEC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2DCC2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B177EDD"/>
    <w:multiLevelType w:val="hybridMultilevel"/>
    <w:tmpl w:val="924CE5B6"/>
    <w:lvl w:ilvl="0" w:tplc="27A08D2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E8E88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EA8EAC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51029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2C060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5C6405E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426A4E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618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D3C24E4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4BDE4AB0"/>
    <w:multiLevelType w:val="hybridMultilevel"/>
    <w:tmpl w:val="F32A4FFE"/>
    <w:lvl w:ilvl="0" w:tplc="5B4278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BCF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58FB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0A90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92B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3685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1C00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805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46444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4E"/>
    <w:rsid w:val="003620A2"/>
    <w:rsid w:val="00382CD1"/>
    <w:rsid w:val="003838D2"/>
    <w:rsid w:val="003A2B24"/>
    <w:rsid w:val="00465C86"/>
    <w:rsid w:val="004B7017"/>
    <w:rsid w:val="00576F4E"/>
    <w:rsid w:val="00612964"/>
    <w:rsid w:val="009E116C"/>
    <w:rsid w:val="00AB5E20"/>
    <w:rsid w:val="00B41913"/>
    <w:rsid w:val="00F0633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CBEC"/>
  <w15:docId w15:val="{DBAE302A-C91E-4D61-BBD8-429889B4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2CD1"/>
    <w:pPr>
      <w:spacing w:after="160" w:line="240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Lehrer</dc:creator>
  <cp:lastModifiedBy>Vollath, Theresa</cp:lastModifiedBy>
  <cp:revision>5</cp:revision>
  <dcterms:created xsi:type="dcterms:W3CDTF">2022-06-10T11:28:00Z</dcterms:created>
  <dcterms:modified xsi:type="dcterms:W3CDTF">2022-06-10T13:03:00Z</dcterms:modified>
</cp:coreProperties>
</file>